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AAC4" w14:textId="1F44B22C" w:rsidR="00E9576B" w:rsidRPr="00E9576B" w:rsidRDefault="00E9576B" w:rsidP="00E9576B">
      <w:pPr>
        <w:shd w:val="clear" w:color="auto" w:fill="FFFFFF"/>
        <w:spacing w:after="0" w:line="240" w:lineRule="auto"/>
        <w:outlineLvl w:val="0"/>
        <w:rPr>
          <w:rFonts w:ascii="Lato" w:eastAsia="Times New Roman" w:hAnsi="Lato" w:cs="Times New Roman"/>
          <w:color w:val="CC3300"/>
          <w:kern w:val="36"/>
          <w:sz w:val="36"/>
          <w:szCs w:val="36"/>
          <w:lang w:eastAsia="fr-BE"/>
        </w:rPr>
      </w:pPr>
      <w:r w:rsidRPr="00E9576B">
        <w:rPr>
          <w:rFonts w:ascii="Lato" w:eastAsia="Times New Roman" w:hAnsi="Lato" w:cs="Times New Roman"/>
          <w:color w:val="CC3300"/>
          <w:kern w:val="36"/>
          <w:sz w:val="36"/>
          <w:szCs w:val="36"/>
          <w:lang w:eastAsia="fr-BE"/>
        </w:rPr>
        <w:t>Métaux mineurs</w:t>
      </w:r>
      <w:r>
        <w:rPr>
          <w:rFonts w:ascii="Lato" w:eastAsia="Times New Roman" w:hAnsi="Lato" w:cs="Times New Roman"/>
          <w:color w:val="CC3300"/>
          <w:kern w:val="36"/>
          <w:sz w:val="36"/>
          <w:szCs w:val="36"/>
          <w:lang w:eastAsia="fr-BE"/>
        </w:rPr>
        <w:t>,</w:t>
      </w:r>
      <w:r w:rsidRPr="00E9576B">
        <w:rPr>
          <w:rFonts w:ascii="Lato" w:eastAsia="Times New Roman" w:hAnsi="Lato" w:cs="Times New Roman"/>
          <w:color w:val="CC3300"/>
          <w:kern w:val="36"/>
          <w:sz w:val="36"/>
          <w:szCs w:val="36"/>
          <w:lang w:eastAsia="fr-BE"/>
        </w:rPr>
        <w:t xml:space="preserve"> le conflit russo-ukrainien continue de dicter la tendance</w:t>
      </w:r>
    </w:p>
    <w:p w14:paraId="3BC1A288"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b/>
          <w:bCs/>
          <w:color w:val="000000"/>
          <w:sz w:val="23"/>
          <w:szCs w:val="23"/>
          <w:lang w:eastAsia="fr-BE"/>
        </w:rPr>
        <w:t xml:space="preserve">Alors que le </w:t>
      </w:r>
      <w:proofErr w:type="spellStart"/>
      <w:r w:rsidRPr="00E9576B">
        <w:rPr>
          <w:rFonts w:ascii="Lato" w:eastAsia="Times New Roman" w:hAnsi="Lato" w:cs="Times New Roman"/>
          <w:b/>
          <w:bCs/>
          <w:color w:val="000000"/>
          <w:sz w:val="23"/>
          <w:szCs w:val="23"/>
          <w:lang w:eastAsia="fr-BE"/>
        </w:rPr>
        <w:t>ferro</w:t>
      </w:r>
      <w:proofErr w:type="spellEnd"/>
      <w:r w:rsidRPr="00E9576B">
        <w:rPr>
          <w:rFonts w:ascii="Lato" w:eastAsia="Times New Roman" w:hAnsi="Lato" w:cs="Times New Roman"/>
          <w:b/>
          <w:bCs/>
          <w:color w:val="000000"/>
          <w:sz w:val="23"/>
          <w:szCs w:val="23"/>
          <w:lang w:eastAsia="fr-BE"/>
        </w:rPr>
        <w:t>-titane poursuit sa course vers les sommets, le marché du cobalt voit des disparités apparaître entre la qualité alliage et la qualité standard. Du côté des flocons de manganèse, la tendance baissière perdure.</w:t>
      </w:r>
    </w:p>
    <w:p w14:paraId="0E850404"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t> </w:t>
      </w:r>
    </w:p>
    <w:p w14:paraId="1FF7C14E"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b/>
          <w:bCs/>
          <w:color w:val="A52A2A"/>
          <w:sz w:val="23"/>
          <w:szCs w:val="23"/>
          <w:lang w:eastAsia="fr-BE"/>
        </w:rPr>
        <w:t>Manganèse : l’érosion se poursuit</w:t>
      </w:r>
    </w:p>
    <w:p w14:paraId="7EBF9B7C"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t>Le marché européen des flocons de manganèse affiche une tendance baissière depuis le début de l’année, qu’il a commencée à 7.400-7.600 $/tonne. Le manganèse 99.7 %, départ Rotterdam, se négocie actuellement à 3.900-4.500 $/tonne, soit une chute de 38 % depuis début 2022. Les coupes de production chinoise, annoncées en décembre et prévues au premier trimestre de cette année, n’ont pas dopé les prix ni empêché l’érosion des cours, comme cela avait été anticipé. Aucun plancher des cours n’étant en vue, les vendeurs cherchent désespérément à vendre leurs stocks. «</w:t>
      </w:r>
      <w:r w:rsidRPr="00E9576B">
        <w:rPr>
          <w:rFonts w:ascii="Lato" w:eastAsia="Times New Roman" w:hAnsi="Lato" w:cs="Times New Roman"/>
          <w:i/>
          <w:iCs/>
          <w:color w:val="000000"/>
          <w:sz w:val="23"/>
          <w:szCs w:val="23"/>
          <w:lang w:eastAsia="fr-BE"/>
        </w:rPr>
        <w:t> Il y a un gros décalage ; certains opérateurs veulent être hors du marché et attendre, tandis que d’autres veulent vendre à tout prix </w:t>
      </w:r>
      <w:r w:rsidRPr="00E9576B">
        <w:rPr>
          <w:rFonts w:ascii="Lato" w:eastAsia="Times New Roman" w:hAnsi="Lato" w:cs="Times New Roman"/>
          <w:color w:val="000000"/>
          <w:sz w:val="23"/>
          <w:szCs w:val="23"/>
          <w:lang w:eastAsia="fr-BE"/>
        </w:rPr>
        <w:t>», a indiqué un négociant. « </w:t>
      </w:r>
      <w:r w:rsidRPr="00E9576B">
        <w:rPr>
          <w:rFonts w:ascii="Lato" w:eastAsia="Times New Roman" w:hAnsi="Lato" w:cs="Times New Roman"/>
          <w:i/>
          <w:iCs/>
          <w:color w:val="000000"/>
          <w:sz w:val="23"/>
          <w:szCs w:val="23"/>
          <w:lang w:eastAsia="fr-BE"/>
        </w:rPr>
        <w:t>Le marché va continuer de baisser. Il vaut mieux attendre que les cours aient atteint un plancher, que je ne vois pas au-dessus de 3.000 $</w:t>
      </w:r>
      <w:r w:rsidRPr="00E9576B">
        <w:rPr>
          <w:rFonts w:ascii="Lato" w:eastAsia="Times New Roman" w:hAnsi="Lato" w:cs="Times New Roman"/>
          <w:color w:val="000000"/>
          <w:sz w:val="23"/>
          <w:szCs w:val="23"/>
          <w:lang w:eastAsia="fr-BE"/>
        </w:rPr>
        <w:t xml:space="preserve"> », estime un négociant. </w:t>
      </w:r>
      <w:proofErr w:type="gramStart"/>
      <w:r w:rsidRPr="00E9576B">
        <w:rPr>
          <w:rFonts w:ascii="Lato" w:eastAsia="Times New Roman" w:hAnsi="Lato" w:cs="Times New Roman"/>
          <w:color w:val="000000"/>
          <w:sz w:val="23"/>
          <w:szCs w:val="23"/>
          <w:lang w:eastAsia="fr-BE"/>
        </w:rPr>
        <w:t>«  </w:t>
      </w:r>
      <w:r w:rsidRPr="00E9576B">
        <w:rPr>
          <w:rFonts w:ascii="Lato" w:eastAsia="Times New Roman" w:hAnsi="Lato" w:cs="Times New Roman"/>
          <w:i/>
          <w:iCs/>
          <w:color w:val="000000"/>
          <w:sz w:val="23"/>
          <w:szCs w:val="23"/>
          <w:lang w:eastAsia="fr-BE"/>
        </w:rPr>
        <w:t>La</w:t>
      </w:r>
      <w:proofErr w:type="gramEnd"/>
      <w:r w:rsidRPr="00E9576B">
        <w:rPr>
          <w:rFonts w:ascii="Lato" w:eastAsia="Times New Roman" w:hAnsi="Lato" w:cs="Times New Roman"/>
          <w:i/>
          <w:iCs/>
          <w:color w:val="000000"/>
          <w:sz w:val="23"/>
          <w:szCs w:val="23"/>
          <w:lang w:eastAsia="fr-BE"/>
        </w:rPr>
        <w:t xml:space="preserve"> raison derrière la chute des cours n’est pas le manque de demande, mais l’abondance d’offre</w:t>
      </w:r>
      <w:r w:rsidRPr="00E9576B">
        <w:rPr>
          <w:rFonts w:ascii="Lato" w:eastAsia="Times New Roman" w:hAnsi="Lato" w:cs="Times New Roman"/>
          <w:color w:val="000000"/>
          <w:sz w:val="23"/>
          <w:szCs w:val="23"/>
          <w:lang w:eastAsia="fr-BE"/>
        </w:rPr>
        <w:t> », estime le négociant. D’après lui, les aciéries chinoises utilisent actuellement du ferromanganèse, à la place de flocons de manganèse, ce qui contribue à la tendance baissière.</w:t>
      </w:r>
    </w:p>
    <w:p w14:paraId="17BCCF32"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t> </w:t>
      </w:r>
    </w:p>
    <w:p w14:paraId="4165816A"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b/>
          <w:bCs/>
          <w:color w:val="A52A2A"/>
          <w:sz w:val="23"/>
          <w:szCs w:val="23"/>
          <w:lang w:eastAsia="fr-BE"/>
        </w:rPr>
        <w:t>Cobalt : la qualité alliage prisée</w:t>
      </w:r>
    </w:p>
    <w:p w14:paraId="6E228796"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t>Des craintes portant sur les disponibilités de certains métaux dans plusieurs régions ont fait grimper les cours du cobalt qualité alliage, qui dépassent maintenant les cours du cobalt qualité standard. Cette évolution est à attribuer à des tensions sur l’offre concentrées sur certains types d’alliages et au fait que certains consommateurs cherchent à élargir leurs options en raison des inquiétudes concernant l’approvisionnement russe. Le cobalt qualité standard, départ Rotterdam, se négocie actuellement à 38.50-39.30 $lb, tandis que le cobalt qualité alliage, départ Rotterdam, s’échange à 38.50-39.50 $/lb. Les acteurs du marché ont noté que les échanges avaient été beaucoup plus nombreux pour le cobalt qualité alliage. Depuis plusieurs semaines, les deux qualités étaient affichées au même niveau, mais le regain de fermeté de la demande de certains secteurs, notamment l’aérospatiale, a changé la donne. D’après des analystes, la demande de ce secteur pourrait bondir de 47 % en 2022, comparativement à 2021. En mai 2021, Airbus avait demandé à ses fournisseurs de se préparer à des hausses de production annuelles. Comme c’était déjà le cas en début d’année, les disponibilités sont plus tendues aux Etats-Unis, comparé à l’Europe. Le cobalt en provenance de Russie ne fait pas l’objet de sanctions, cependant, le financement de métal russe est devenu quasi-impossible d’après les négociants, qui expliquent que les prêteurs ne veulent pas être impliqués, par peur des retombées. Il n’y a, pour l’heure, pas de consensus concernant la manière de traiter le métal en provenance de Russie. Certains négociants ont pu conclure des transactions portant sur du métal produit par Norilsk, sans difficultés, au milieu de la fourchette d’échanges actuelle.</w:t>
      </w:r>
    </w:p>
    <w:p w14:paraId="3DB87BA8"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t> </w:t>
      </w:r>
    </w:p>
    <w:p w14:paraId="696CA0BD"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b/>
          <w:bCs/>
          <w:color w:val="A52A2A"/>
          <w:sz w:val="23"/>
          <w:szCs w:val="23"/>
          <w:lang w:eastAsia="fr-BE"/>
        </w:rPr>
        <w:t>Ferro-titane : les cours grimpent</w:t>
      </w:r>
    </w:p>
    <w:p w14:paraId="075F6228" w14:textId="77777777" w:rsidR="00E9576B" w:rsidRPr="00E9576B" w:rsidRDefault="00E9576B" w:rsidP="00E9576B">
      <w:pPr>
        <w:shd w:val="clear" w:color="auto" w:fill="FFFFFF"/>
        <w:spacing w:before="75" w:after="75" w:line="240" w:lineRule="auto"/>
        <w:jc w:val="both"/>
        <w:rPr>
          <w:rFonts w:ascii="Lato" w:eastAsia="Times New Roman" w:hAnsi="Lato" w:cs="Times New Roman"/>
          <w:color w:val="000000"/>
          <w:sz w:val="23"/>
          <w:szCs w:val="23"/>
          <w:lang w:eastAsia="fr-BE"/>
        </w:rPr>
      </w:pPr>
      <w:r w:rsidRPr="00E9576B">
        <w:rPr>
          <w:rFonts w:ascii="Lato" w:eastAsia="Times New Roman" w:hAnsi="Lato" w:cs="Times New Roman"/>
          <w:color w:val="000000"/>
          <w:sz w:val="23"/>
          <w:szCs w:val="23"/>
          <w:lang w:eastAsia="fr-BE"/>
        </w:rPr>
        <w:lastRenderedPageBreak/>
        <w:t>Les acteurs du marché ont fait état d’un nouveau bond des cours, lié à aux craintes concernant l’approvisionnement en raison du conflit russo-ukrainien. « </w:t>
      </w:r>
      <w:r w:rsidRPr="00E9576B">
        <w:rPr>
          <w:rFonts w:ascii="Lato" w:eastAsia="Times New Roman" w:hAnsi="Lato" w:cs="Times New Roman"/>
          <w:i/>
          <w:iCs/>
          <w:color w:val="000000"/>
          <w:sz w:val="23"/>
          <w:szCs w:val="23"/>
          <w:lang w:eastAsia="fr-BE"/>
        </w:rPr>
        <w:t>Le titane ne fait pas encore l’objet de sanctions, mais certains craignent une interdiction du titane russe</w:t>
      </w:r>
      <w:r w:rsidRPr="00E9576B">
        <w:rPr>
          <w:rFonts w:ascii="Lato" w:eastAsia="Times New Roman" w:hAnsi="Lato" w:cs="Times New Roman"/>
          <w:color w:val="000000"/>
          <w:sz w:val="23"/>
          <w:szCs w:val="23"/>
          <w:lang w:eastAsia="fr-BE"/>
        </w:rPr>
        <w:t xml:space="preserve"> », note un négociant. Les cours sont actuellement à leur plus haut niveau depuis décembre 2005, lorsqu’ils avaient atteint 19.50 $/kg. Le </w:t>
      </w:r>
      <w:proofErr w:type="spellStart"/>
      <w:r w:rsidRPr="00E9576B">
        <w:rPr>
          <w:rFonts w:ascii="Lato" w:eastAsia="Times New Roman" w:hAnsi="Lato" w:cs="Times New Roman"/>
          <w:color w:val="000000"/>
          <w:sz w:val="23"/>
          <w:szCs w:val="23"/>
          <w:lang w:eastAsia="fr-BE"/>
        </w:rPr>
        <w:t>ferro</w:t>
      </w:r>
      <w:proofErr w:type="spellEnd"/>
      <w:r w:rsidRPr="00E9576B">
        <w:rPr>
          <w:rFonts w:ascii="Lato" w:eastAsia="Times New Roman" w:hAnsi="Lato" w:cs="Times New Roman"/>
          <w:color w:val="000000"/>
          <w:sz w:val="23"/>
          <w:szCs w:val="23"/>
          <w:lang w:eastAsia="fr-BE"/>
        </w:rPr>
        <w:t xml:space="preserve">-titane 70 % Ti, max 4.5 % Al, </w:t>
      </w:r>
      <w:proofErr w:type="spellStart"/>
      <w:r w:rsidRPr="00E9576B">
        <w:rPr>
          <w:rFonts w:ascii="Lato" w:eastAsia="Times New Roman" w:hAnsi="Lato" w:cs="Times New Roman"/>
          <w:color w:val="000000"/>
          <w:sz w:val="23"/>
          <w:szCs w:val="23"/>
          <w:lang w:eastAsia="fr-BE"/>
        </w:rPr>
        <w:t>ddp</w:t>
      </w:r>
      <w:proofErr w:type="spellEnd"/>
      <w:r w:rsidRPr="00E9576B">
        <w:rPr>
          <w:rFonts w:ascii="Lato" w:eastAsia="Times New Roman" w:hAnsi="Lato" w:cs="Times New Roman"/>
          <w:color w:val="000000"/>
          <w:sz w:val="23"/>
          <w:szCs w:val="23"/>
          <w:lang w:eastAsia="fr-BE"/>
        </w:rPr>
        <w:t xml:space="preserve"> Europe, se négocie actuellement à 16-19 $/kg, un niveau à comparer avec celui d’août 2020, de 3.30-3.85 $/kg.</w:t>
      </w:r>
    </w:p>
    <w:p w14:paraId="714556CB" w14:textId="77777777" w:rsidR="0030447A" w:rsidRDefault="0030447A"/>
    <w:sectPr w:rsidR="00304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6B"/>
    <w:rsid w:val="0030447A"/>
    <w:rsid w:val="00E957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D15"/>
  <w15:chartTrackingRefBased/>
  <w15:docId w15:val="{1906CA1E-97D3-4506-BA83-67A5A6EA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2022-03-22T07:43:00Z</dcterms:created>
  <dcterms:modified xsi:type="dcterms:W3CDTF">2022-03-22T07:43:00Z</dcterms:modified>
</cp:coreProperties>
</file>